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left="0" w:leftChars="0" w:firstLine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附2</w:t>
      </w:r>
    </w:p>
    <w:p>
      <w:pPr>
        <w:jc w:val="center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钢铁行业规范企业引领评价指标体系</w:t>
      </w:r>
    </w:p>
    <w:bookmarkEnd w:id="0"/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700"/>
        <w:gridCol w:w="1275"/>
        <w:gridCol w:w="5286"/>
      </w:tblGrid>
      <w:tr>
        <w:trPr>
          <w:cantSplit/>
          <w:trHeight w:val="512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具体要求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高端化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科研平台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具备相应资质的研发中心、技术中心、创新中心、重点实验室等企业科研机构。（自有、母公司或控股的钢铁企业亦可）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研发投入占比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经专业机构审计后的研发费用占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营业收入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比例（R&amp;D）达到一定水平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（采用上年度数据）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科学技术奖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获得相应级别的科学技术奖。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（自有、母公司或控股的钢铁企业亦可）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钢铁标准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近5年参与制订一定数量的国际标准、国家标准、行业标准。（累计值，数据截至申报或自查年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上年的12月31日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自有、母公司或控股的钢铁企业亦可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国际标准、国家标准起草单位前5位，行业标准起草单位前3位。）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专利情况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获得国家知识产权局和世界知识产权组织共同主办的中国专利奖，有效发明专利数量达到一定水平。（自有、母公司或控股的钢铁企业亦可）</w:t>
            </w:r>
          </w:p>
        </w:tc>
      </w:tr>
      <w:tr>
        <w:trPr>
          <w:cantSplit/>
          <w:trHeight w:val="954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质量奖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获得相应级别的产品质量奖项，如中国质量奖、全国质量奖、省级政府质量奖、冶金特优质量奖等。（自有、母公司或控股的钢铁企业亦可）</w:t>
            </w:r>
          </w:p>
        </w:tc>
      </w:tr>
      <w:tr>
        <w:trPr>
          <w:cantSplit/>
          <w:trHeight w:val="718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单项冠军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列入工业和信息化部公告的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制造业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单项冠军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企业名单。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（自有、母公司或控股的钢铁企业亦可）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智能化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数字化转型水平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按照钢铁行业数字化转型评估标准、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《信息化和工业化融合管理体系新型能力分级要求》（GB/T23001）有关要求，获得一定级别的两化融合管理体系证书，数字化转型水平达到一定级别。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智能制造成熟度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按照《智能制造能力成熟度模型》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对智能制造能力成熟度进行评估，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智能制造成熟度达到一定级别。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人工智能应用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推动钢铁+人工智能创新应用，促进人工智能与钢铁工业深度融合。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智能制造标准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按照工业和信息化部发布的《钢铁行业智能制造标准体系建设指南》要求，近5年参与制定钢铁行业智能制造领域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国际标准、国家标准、行业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标准。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（自有、母公司或控股的钢铁企业亦可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智能制造示范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列入工业和信息化部公告的智能工厂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数字领航名单、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5G工厂、新一代信息技术与制造业融合发展示范名单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、制造业与互联网融合发展示范名单、工业互联网试点示范名单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或典型应用场景名单、原材料行业数字化转型典型场景及标杆工厂等。</w:t>
            </w:r>
          </w:p>
        </w:tc>
      </w:tr>
      <w:tr>
        <w:trPr>
          <w:cantSplit/>
          <w:trHeight w:val="1439" w:hRule="atLeast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绿色化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超低排放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完成超低排放改造（含有组织排放、无组织排放、清洁运输共3项），在中国钢铁工业协会官方网站进行公示，经省级生态环境部门公告评为钢铁行业环保绩效A级企业。</w:t>
            </w:r>
          </w:p>
        </w:tc>
      </w:tr>
      <w:tr>
        <w:trPr>
          <w:cantSplit/>
          <w:trHeight w:val="558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绿色工厂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列入工业和信息化部公告的绿色工厂名单。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能效标杆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主要生产工序能源消耗指标达到《工业重点领域能效标杆水平和基准水平》规定的“标杆水平”。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低碳发展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采用先进降碳工艺技术，含具有自主知识产权或首台套应用的降碳工艺示范（中试）项目。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  <w:t>（自有、母公司或控股的钢铁企业亦可）</w:t>
            </w:r>
          </w:p>
        </w:tc>
      </w:tr>
      <w:tr>
        <w:trPr>
          <w:cantSplit/>
          <w:trHeight w:val="560" w:hRule="atLeast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高效化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吨钢纳税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吨钢纳税达到一定水平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近3年平均数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rPr>
          <w:cantSplit/>
          <w:trHeight w:val="855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吨钢利润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主营业务（黑色金属矿采选、黑色金属冶炼和压延加工）吨钢利润为正且高于行业平均值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近3年平均数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资产负债率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经专业机构审计后的资产负债率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处于一定水平（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采用上年度数据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rPr>
          <w:cantSplit/>
          <w:trHeight w:val="823" w:hRule="atLeast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兼并重组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近5年与国内或国外其他钢铁冶炼企业进行实质性兼并重组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，兼并重组后企业产量达到一定规模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兼并重组后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企业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集团口径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自有、母公司或控股的钢铁企业亦可）</w:t>
            </w:r>
          </w:p>
        </w:tc>
      </w:tr>
      <w:tr>
        <w:trPr>
          <w:cantSplit/>
          <w:trHeight w:val="575" w:hRule="atLeast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安全化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生产安全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达到安全生产标准化等级企业要求。</w:t>
            </w:r>
          </w:p>
        </w:tc>
      </w:tr>
      <w:tr>
        <w:trPr>
          <w:cantSplit/>
          <w:trHeight w:val="69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安全事故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上年度以来未发生较大及以上生产安全事故、网络安全事件、数据安全事件。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网络安全管理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按照工业和信息化部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《工业互联网安全分类分级管理办法》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要求，钢铁企业应承担本企业网络安全主体责任，主动开展自主定级、安全建设、风险评估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安全整改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工作，落实安全防护标准，有效应对网络安全风险，保障本企业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网络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安全。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数据安全管理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依据《中华人民共和国数据安全法》、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《工业和信息化领域数据安全管理办法（试行）》（工信部网安〔2022〕166号）要求，钢铁企业应当对数据处理活动负安全主体责任，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建立数据安全管理制度，开展数据分类分级并识别重要数据，具备数据分级防护能力，开展数据安全监测预警和应急管理，掌握重要数据的企业每年至少开展一次数据安全风险评估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，确保数据持续处于有效保护和合法利用的状态。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安全化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资源保障安全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长流程企业：自有或参股（股权≥10%）国内矿山、权益矿（自有、母公司或控股的钢铁企业亦可）的铁矿供应量占企业铁矿总消耗量达到一定比例。</w:t>
            </w:r>
          </w:p>
          <w:p>
            <w:pPr>
              <w:widowControl/>
              <w:tabs>
                <w:tab w:val="left" w:pos="0"/>
              </w:tabs>
              <w:textAlignment w:val="center"/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短流程企业：自有或参股（股权≥10%）废钢回收加工企业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、直接还原铁企业、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镍铁企业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（自有、母公司或控股的钢铁企业亦可）的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含铁原料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供应量占总消耗量达到一定比例。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ascii="Times New Roman" w:hAnsi="Times New Roman" w:eastAsia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2"/>
                <w:szCs w:val="22"/>
                <w:highlight w:val="none"/>
                <w:lang w:val="en-US" w:eastAsia="zh-CN"/>
              </w:rPr>
              <w:t>特色化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装备技术水平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电炉炼钢工序符合以下要求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采用上年度数据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采用超高功率电弧炉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单位功率水平&gt;700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VA/t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连铸坯热装热送比例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：普钢≥90%，优特钢≥60%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不锈钢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  <w:t>0%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电弧炉平均冶炼周期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：普钢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35min，优特钢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50min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，不锈钢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≤120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min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电极消耗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普钢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0.8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kg/t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不锈钢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4.0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kg/t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冶炼电耗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0kWh/t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，不锈钢冶炼电耗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≤5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kWh/t；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电弧炉采用底吹搅拌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或电磁搅拌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技术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电弧炉采用电极智能调节等智能控制系统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电弧炉配备集束氧枪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，不锈钢电弧炉配备自耗式氧枪；</w:t>
            </w:r>
          </w:p>
          <w:p>
            <w:pPr>
              <w:widowControl/>
              <w:tabs>
                <w:tab w:val="left" w:pos="0"/>
              </w:tabs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9.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电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炉冶炼废钢收得率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≥92%；</w:t>
            </w:r>
          </w:p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.具备废钢连续预热装置，且废钢预热温度可稳定达到400℃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炉外精炼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配备LF精炼炉及真空精炼装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备</w:t>
            </w: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（VD炉、VOD炉、RH炉等）。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特种冶炼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采用电渣重熔、真空自耗、真空感应等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特种冶炼工艺进行生产。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生产品种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鼓励电炉钢企业优化产品结构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提高合金钢产品比例。合金钢定义按照《钢分类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第1部分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按化学成分分类》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GB/T13304.1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规定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采用上年度数据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原料供应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.使用废钢为原料的短流程企业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配套建设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含协作或合作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废钢铁加工配送中心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且列入工业和信息化部公告的废钢铁加工行业准入企业名单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具备智能分拣废钢的专用生产线，可实现废钢智能判级。</w:t>
            </w:r>
          </w:p>
        </w:tc>
      </w:tr>
      <w:tr>
        <w:trPr>
          <w:cantSplit/>
          <w:trHeight w:val="883" w:hRule="atLeast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u w:val="none"/>
                <w:lang w:bidi="ar"/>
              </w:rPr>
              <w:t>清洁能源使用比例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太阳能、风能、生物能、水能、地热能、氢能等清洁能源转化的电力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绿电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占全年电耗达到一定比例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采用上年度数据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。</w:t>
            </w:r>
          </w:p>
        </w:tc>
      </w:tr>
      <w:tr>
        <w:trPr>
          <w:cantSplit/>
          <w:trHeight w:val="23" w:hRule="atLeast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二噁英治理</w:t>
            </w:r>
          </w:p>
        </w:tc>
        <w:tc>
          <w:tcPr>
            <w:tcW w:w="5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line="24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使用废钢为原料的短流程企业需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配备二噁英治理设备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并且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上年度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烟气二噁英排放浓度&lt;0.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ng-TEQ/m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vertAlign w:val="superscript"/>
                <w:lang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。</w:t>
            </w:r>
          </w:p>
        </w:tc>
      </w:tr>
    </w:tbl>
    <w:p>
      <w:pPr>
        <w:pStyle w:val="2"/>
      </w:pPr>
      <w:r>
        <w:rPr>
          <w:rFonts w:hint="default" w:ascii="Times New Roman" w:hAnsi="Times New Roman" w:eastAsia="仿宋_GB2312" w:cs="Times New Roman"/>
          <w:color w:val="auto"/>
          <w:kern w:val="0"/>
          <w:sz w:val="22"/>
          <w:szCs w:val="22"/>
          <w:highlight w:val="none"/>
          <w:lang w:val="en-US" w:eastAsia="zh-CN" w:bidi="ar"/>
        </w:rPr>
        <w:t>注：第1项至第25项指标适用于长流程企业和短流程企业；第26项至第32项指标为特色化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>指标，仅适用于短流程企业</w:t>
      </w:r>
      <w:r>
        <w:rPr>
          <w:rFonts w:hint="eastAsia" w:eastAsia="仿宋_GB2312" w:cs="Times New Roman"/>
          <w:i w:val="0"/>
          <w:i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Dkov7PyAEAAJkDAAAOAAAAAAAA&#10;AAEAIAAAADQBAABkcnMvZTJvRG9jLnhtbFBLBQYAAAAABgAGAFkBAABu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C0AE5"/>
    <w:rsid w:val="7F6C0AE5"/>
    <w:rsid w:val="93BF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</w:pPr>
    <w:rPr>
      <w:rFonts w:ascii="Times New Roman" w:hAnsi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2025-02-08T17:38:00Z</dcterms:created>
  <dc:creator>要死的泡泡鱼</dc:creator>
  <cp:lastModifiedBy>要死的泡泡鱼</cp:lastModifiedBy>
  <dcterms:modified xsi:type="dcterms:W3CDTF">2025-02-08T17:39:34Z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7EE3B5D1578CD0B95626A7675A586469_43</vt:lpwstr>
  </property>
</Properties>
</file>