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附1</w:t>
      </w:r>
    </w:p>
    <w:p>
      <w:pPr>
        <w:jc w:val="center"/>
        <w:rPr>
          <w:rFonts w:hint="default" w:ascii="Times New Roman" w:hAnsi="Times New Roman" w:cs="Times New Roman"/>
          <w:color w:val="auto"/>
          <w:highlight w:val="none"/>
          <w:lang w:val="en-US" w:eastAsia="zh-CN"/>
        </w:rPr>
      </w:pPr>
      <w:bookmarkStart w:id="0" w:name="_GoBack"/>
      <w:r>
        <w:rPr>
          <w:rFonts w:hint="default" w:ascii="Times New Roman" w:hAnsi="Times New Roman" w:eastAsia="黑体" w:cs="Times New Roman"/>
          <w:color w:val="auto"/>
          <w:sz w:val="32"/>
          <w:szCs w:val="32"/>
          <w:highlight w:val="none"/>
          <w:lang w:val="en-US" w:eastAsia="zh-CN"/>
        </w:rPr>
        <w:t>钢铁行业规范企业基础评价指标体系</w:t>
      </w:r>
      <w:bookmarkEnd w:id="0"/>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6"/>
        <w:gridCol w:w="735"/>
        <w:gridCol w:w="1300"/>
        <w:gridCol w:w="5718"/>
      </w:tblGrid>
      <w:tr>
        <w:trPr>
          <w:trHeight w:val="340" w:hRule="atLeast"/>
          <w:tblHeader/>
        </w:trPr>
        <w:tc>
          <w:tcPr>
            <w:tcW w:w="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line="240" w:lineRule="auto"/>
              <w:jc w:val="center"/>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一级指标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line="240" w:lineRule="auto"/>
              <w:jc w:val="center"/>
              <w:textAlignment w:val="center"/>
              <w:rPr>
                <w:rFonts w:hint="default" w:ascii="Times New Roman" w:hAnsi="Times New Roman" w:eastAsia="黑体" w:cs="Times New Roman"/>
                <w:i w:val="0"/>
                <w:iCs w:val="0"/>
                <w:color w:val="auto"/>
                <w:kern w:val="0"/>
                <w:sz w:val="24"/>
                <w:szCs w:val="24"/>
                <w:highlight w:val="none"/>
                <w:u w:val="none"/>
                <w:lang w:val="en-US" w:eastAsia="zh-CN" w:bidi="ar"/>
              </w:rPr>
            </w:pPr>
            <w:r>
              <w:rPr>
                <w:rFonts w:hint="default" w:ascii="Times New Roman" w:hAnsi="Times New Roman" w:eastAsia="黑体" w:cs="Times New Roman"/>
                <w:i w:val="0"/>
                <w:iCs w:val="0"/>
                <w:color w:val="auto"/>
                <w:kern w:val="0"/>
                <w:sz w:val="24"/>
                <w:szCs w:val="24"/>
                <w:highlight w:val="none"/>
                <w:u w:val="none"/>
                <w:lang w:val="en-US" w:eastAsia="zh-CN" w:bidi="ar"/>
              </w:rPr>
              <w:t>序号</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line="240" w:lineRule="auto"/>
              <w:jc w:val="center"/>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二级指标</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adjustRightInd w:val="0"/>
              <w:snapToGrid w:val="0"/>
              <w:spacing w:line="240" w:lineRule="auto"/>
              <w:jc w:val="center"/>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具体要求</w:t>
            </w:r>
          </w:p>
        </w:tc>
      </w:tr>
      <w:tr>
        <w:trPr>
          <w:trHeight w:val="405" w:hRule="atLeast"/>
        </w:trPr>
        <w:tc>
          <w:tcPr>
            <w:tcW w:w="7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2"/>
                <w:szCs w:val="22"/>
                <w:highlight w:val="none"/>
                <w:u w:val="none"/>
              </w:rPr>
            </w:pPr>
            <w:r>
              <w:rPr>
                <w:rFonts w:hint="default" w:ascii="Times New Roman" w:hAnsi="Times New Roman" w:eastAsia="仿宋_GB2312" w:cs="Times New Roman"/>
                <w:i w:val="0"/>
                <w:iCs w:val="0"/>
                <w:color w:val="auto"/>
                <w:kern w:val="0"/>
                <w:sz w:val="22"/>
                <w:szCs w:val="22"/>
                <w:highlight w:val="none"/>
                <w:u w:val="none"/>
                <w:lang w:val="en-US" w:eastAsia="zh-CN" w:bidi="ar"/>
              </w:rPr>
              <w:t>基本要求</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合规经营</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color w:val="auto"/>
                <w:kern w:val="0"/>
                <w:sz w:val="22"/>
                <w:szCs w:val="22"/>
                <w:highlight w:val="none"/>
                <w:lang w:bidi="ar"/>
              </w:rPr>
              <w:t>依法依规开展生产经营活动，不存在严重违法违规行为，未列入“严重失信主体名单”</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405"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2</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正常生产</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不存在连续停产12个月以上或被执行破产清算的情况</w:t>
            </w:r>
            <w:r>
              <w:rPr>
                <w:rFonts w:hint="default" w:ascii="Times New Roman" w:hAnsi="Times New Roman" w:eastAsia="仿宋_GB2312" w:cs="Times New Roman"/>
                <w:color w:val="auto"/>
                <w:kern w:val="0"/>
                <w:sz w:val="22"/>
                <w:szCs w:val="22"/>
                <w:highlight w:val="none"/>
                <w:lang w:bidi="ar"/>
              </w:rPr>
              <w:t>，未列入“经营异常名录”</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901"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3</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诚信竞争</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维护正常价格秩序，进行公平、公开、合法的市场竞争，维护行业自律，不存在不正当价格行为，</w:t>
            </w:r>
            <w:r>
              <w:rPr>
                <w:rFonts w:hint="default" w:ascii="Times New Roman" w:hAnsi="Times New Roman" w:eastAsia="仿宋_GB2312" w:cs="Times New Roman"/>
                <w:i w:val="0"/>
                <w:iCs w:val="0"/>
                <w:strike w:val="0"/>
                <w:color w:val="auto"/>
                <w:kern w:val="0"/>
                <w:sz w:val="22"/>
                <w:szCs w:val="22"/>
                <w:highlight w:val="none"/>
                <w:u w:val="none"/>
                <w:lang w:eastAsia="zh-CN" w:bidi="ar"/>
              </w:rPr>
              <w:t>不存在</w:t>
            </w:r>
            <w:r>
              <w:rPr>
                <w:rFonts w:hint="default" w:ascii="Times New Roman" w:hAnsi="Times New Roman" w:eastAsia="仿宋_GB2312" w:cs="Times New Roman"/>
                <w:i w:val="0"/>
                <w:iCs w:val="0"/>
                <w:strike w:val="0"/>
                <w:color w:val="auto"/>
                <w:kern w:val="0"/>
                <w:sz w:val="22"/>
                <w:szCs w:val="22"/>
                <w:highlight w:val="none"/>
                <w:u w:val="none"/>
                <w:lang w:bidi="ar"/>
              </w:rPr>
              <w:t>从事《中华人民共和国反垄断法》规定的垄断行为</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484"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4</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依法纳税</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依法依规缴纳税金。</w:t>
            </w:r>
          </w:p>
        </w:tc>
      </w:tr>
      <w:tr>
        <w:trPr>
          <w:trHeight w:val="488"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5</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劳动报酬</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eastAsia="zh-CN" w:bidi="ar"/>
              </w:rPr>
              <w:t>依法依规</w:t>
            </w:r>
            <w:r>
              <w:rPr>
                <w:rFonts w:hint="default" w:ascii="Times New Roman" w:hAnsi="Times New Roman" w:eastAsia="仿宋_GB2312" w:cs="Times New Roman"/>
                <w:color w:val="auto"/>
                <w:kern w:val="0"/>
                <w:sz w:val="22"/>
                <w:szCs w:val="22"/>
                <w:highlight w:val="none"/>
                <w:lang w:bidi="ar"/>
              </w:rPr>
              <w:t>缴纳各项社会保险费</w:t>
            </w:r>
            <w:r>
              <w:rPr>
                <w:rFonts w:hint="eastAsia" w:ascii="Times New Roman" w:hAnsi="Times New Roman" w:eastAsia="仿宋_GB2312" w:cs="Times New Roman"/>
                <w:color w:val="auto"/>
                <w:kern w:val="0"/>
                <w:sz w:val="22"/>
                <w:szCs w:val="22"/>
                <w:highlight w:val="none"/>
                <w:lang w:eastAsia="zh-CN" w:bidi="ar"/>
              </w:rPr>
              <w:t>，</w:t>
            </w:r>
            <w:r>
              <w:rPr>
                <w:rFonts w:hint="default" w:ascii="Times New Roman" w:hAnsi="Times New Roman" w:eastAsia="仿宋_GB2312" w:cs="Times New Roman"/>
                <w:color w:val="auto"/>
                <w:kern w:val="0"/>
                <w:sz w:val="22"/>
                <w:szCs w:val="22"/>
                <w:highlight w:val="none"/>
                <w:lang w:bidi="ar"/>
              </w:rPr>
              <w:t>按规定支付职工薪酬</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943"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6</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督察检查</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color w:val="auto"/>
                <w:kern w:val="0"/>
                <w:sz w:val="22"/>
                <w:szCs w:val="22"/>
                <w:highlight w:val="none"/>
                <w:lang w:bidi="ar"/>
              </w:rPr>
              <w:t>上年度至公告前，未列入国家有关专项督</w:t>
            </w:r>
            <w:r>
              <w:rPr>
                <w:rFonts w:hint="default" w:ascii="Times New Roman" w:hAnsi="Times New Roman" w:eastAsia="仿宋_GB2312" w:cs="Times New Roman"/>
                <w:color w:val="auto"/>
                <w:kern w:val="0"/>
                <w:sz w:val="22"/>
                <w:szCs w:val="22"/>
                <w:highlight w:val="none"/>
                <w:lang w:val="en-US" w:eastAsia="zh-CN" w:bidi="ar"/>
              </w:rPr>
              <w:t>察</w:t>
            </w:r>
            <w:r>
              <w:rPr>
                <w:rFonts w:hint="default" w:ascii="Times New Roman" w:hAnsi="Times New Roman" w:eastAsia="仿宋_GB2312" w:cs="Times New Roman"/>
                <w:color w:val="auto"/>
                <w:kern w:val="0"/>
                <w:sz w:val="22"/>
                <w:szCs w:val="22"/>
                <w:highlight w:val="none"/>
                <w:lang w:bidi="ar"/>
              </w:rPr>
              <w:t>负面典型案例。</w:t>
            </w:r>
            <w:r>
              <w:rPr>
                <w:rFonts w:hint="default" w:ascii="Times New Roman" w:hAnsi="Times New Roman" w:eastAsia="仿宋_GB2312" w:cs="Times New Roman"/>
                <w:color w:val="auto"/>
                <w:kern w:val="0"/>
                <w:sz w:val="22"/>
                <w:szCs w:val="22"/>
                <w:highlight w:val="none"/>
                <w:lang w:eastAsia="zh-CN" w:bidi="ar"/>
              </w:rPr>
              <w:t>规范企业公告前，</w:t>
            </w:r>
            <w:r>
              <w:rPr>
                <w:rFonts w:hint="default" w:ascii="Times New Roman" w:hAnsi="Times New Roman" w:eastAsia="仿宋_GB2312" w:cs="Times New Roman"/>
                <w:color w:val="auto"/>
                <w:kern w:val="0"/>
                <w:sz w:val="22"/>
                <w:szCs w:val="22"/>
                <w:highlight w:val="none"/>
                <w:lang w:bidi="ar"/>
              </w:rPr>
              <w:t>不存在未完成的国家有关专项督察通报整改事项</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1020" w:hRule="atLeast"/>
        </w:trPr>
        <w:tc>
          <w:tcPr>
            <w:tcW w:w="766"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工艺装备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7</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产能合规</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bidi="ar"/>
              </w:rPr>
              <w:t>冶炼设备须在2016年国务院国资委、各省级人民政府上报国务院备案去产能实施方案的钢铁行业冶炼设备清单内，2016年及以后建成的冶炼设备</w:t>
            </w:r>
            <w:r>
              <w:rPr>
                <w:rFonts w:hint="default" w:ascii="Times New Roman" w:hAnsi="Times New Roman" w:eastAsia="仿宋_GB2312" w:cs="Times New Roman"/>
                <w:color w:val="auto"/>
                <w:kern w:val="0"/>
                <w:sz w:val="22"/>
                <w:szCs w:val="22"/>
                <w:highlight w:val="none"/>
                <w:lang w:val="en-US" w:eastAsia="zh-CN" w:bidi="ar"/>
              </w:rPr>
              <w:t>须符合《钢铁行业产能置换实施办法》要求</w:t>
            </w:r>
            <w:r>
              <w:rPr>
                <w:rFonts w:hint="default" w:ascii="Times New Roman" w:hAnsi="Times New Roman" w:eastAsia="仿宋_GB2312" w:cs="Times New Roman"/>
                <w:color w:val="auto"/>
                <w:kern w:val="0"/>
                <w:sz w:val="22"/>
                <w:szCs w:val="22"/>
                <w:highlight w:val="none"/>
                <w:lang w:bidi="ar"/>
              </w:rPr>
              <w:t>。</w:t>
            </w:r>
          </w:p>
        </w:tc>
      </w:tr>
      <w:tr>
        <w:trPr>
          <w:trHeight w:val="90" w:hRule="atLeast"/>
        </w:trPr>
        <w:tc>
          <w:tcPr>
            <w:tcW w:w="766"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8</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淘汰落后</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auto"/>
                <w:kern w:val="0"/>
                <w:sz w:val="22"/>
                <w:szCs w:val="22"/>
                <w:highlight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主体工艺技术及装备应当符合《产业结构调整指导目录》要求，不存在淘汰类工艺技术及装备。</w:t>
            </w:r>
          </w:p>
        </w:tc>
      </w:tr>
      <w:tr>
        <w:trPr>
          <w:trHeight w:val="677" w:hRule="atLeast"/>
        </w:trPr>
        <w:tc>
          <w:tcPr>
            <w:tcW w:w="7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2"/>
                <w:szCs w:val="22"/>
                <w:highlight w:val="none"/>
                <w:u w:val="none"/>
              </w:rPr>
            </w:pPr>
            <w:r>
              <w:rPr>
                <w:rFonts w:hint="default" w:ascii="Times New Roman" w:hAnsi="Times New Roman" w:eastAsia="仿宋_GB2312" w:cs="Times New Roman"/>
                <w:i w:val="0"/>
                <w:iCs w:val="0"/>
                <w:color w:val="auto"/>
                <w:kern w:val="0"/>
                <w:sz w:val="22"/>
                <w:szCs w:val="22"/>
                <w:highlight w:val="none"/>
                <w:u w:val="none"/>
                <w:lang w:val="en-US" w:eastAsia="zh-CN" w:bidi="ar"/>
              </w:rPr>
              <w:t>环境保护</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9</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环境影响评价</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符合</w:t>
            </w:r>
            <w:r>
              <w:rPr>
                <w:rFonts w:hint="default" w:ascii="Times New Roman" w:hAnsi="Times New Roman" w:eastAsia="仿宋_GB2312" w:cs="Times New Roman"/>
                <w:color w:val="auto"/>
                <w:kern w:val="0"/>
                <w:sz w:val="22"/>
                <w:szCs w:val="22"/>
                <w:highlight w:val="none"/>
                <w:lang w:bidi="ar"/>
              </w:rPr>
              <w:t>生态环境分区管控、</w:t>
            </w:r>
            <w:r>
              <w:rPr>
                <w:rFonts w:hint="default" w:ascii="Times New Roman" w:hAnsi="Times New Roman" w:eastAsia="仿宋_GB2312" w:cs="Times New Roman"/>
                <w:i w:val="0"/>
                <w:iCs w:val="0"/>
                <w:color w:val="auto"/>
                <w:kern w:val="0"/>
                <w:sz w:val="22"/>
                <w:szCs w:val="22"/>
                <w:highlight w:val="none"/>
                <w:u w:val="none"/>
                <w:lang w:val="en-US" w:eastAsia="zh-CN" w:bidi="ar"/>
              </w:rPr>
              <w:t>环境影响评价、环境保护设施“三同时”、环境保护竣工验收等要求。</w:t>
            </w:r>
          </w:p>
        </w:tc>
      </w:tr>
      <w:tr>
        <w:trPr>
          <w:trHeight w:val="744"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10</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排污许可</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color w:val="auto"/>
                <w:kern w:val="0"/>
                <w:sz w:val="22"/>
                <w:szCs w:val="22"/>
                <w:highlight w:val="none"/>
                <w:lang w:bidi="ar"/>
              </w:rPr>
              <w:t>依法申领排污许可证，严格落实排污许可证规定，履行依证排污责任，依法开展自行监测，并保存原始监测记录。</w:t>
            </w:r>
          </w:p>
        </w:tc>
      </w:tr>
      <w:tr>
        <w:trPr>
          <w:trHeight w:val="649"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11</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环境事故</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bidi="ar"/>
              </w:rPr>
              <w:t>上年度</w:t>
            </w:r>
            <w:r>
              <w:rPr>
                <w:rFonts w:hint="default" w:ascii="Times New Roman" w:hAnsi="Times New Roman" w:eastAsia="仿宋_GB2312" w:cs="Times New Roman"/>
                <w:color w:val="auto"/>
                <w:kern w:val="0"/>
                <w:sz w:val="22"/>
                <w:szCs w:val="22"/>
                <w:highlight w:val="none"/>
                <w:lang w:eastAsia="zh-CN" w:bidi="ar"/>
              </w:rPr>
              <w:t>以来</w:t>
            </w:r>
            <w:r>
              <w:rPr>
                <w:rFonts w:hint="default" w:ascii="Times New Roman" w:hAnsi="Times New Roman" w:eastAsia="仿宋_GB2312" w:cs="Times New Roman"/>
                <w:color w:val="auto"/>
                <w:kern w:val="0"/>
                <w:sz w:val="22"/>
                <w:szCs w:val="22"/>
                <w:highlight w:val="none"/>
                <w:lang w:bidi="ar"/>
              </w:rPr>
              <w:t>未被生态环境主管部门通报发生重大及以上</w:t>
            </w:r>
            <w:r>
              <w:rPr>
                <w:rFonts w:hint="default" w:ascii="Times New Roman" w:hAnsi="Times New Roman" w:eastAsia="仿宋_GB2312" w:cs="Times New Roman"/>
                <w:i w:val="0"/>
                <w:iCs w:val="0"/>
                <w:color w:val="auto"/>
                <w:kern w:val="0"/>
                <w:sz w:val="22"/>
                <w:szCs w:val="22"/>
                <w:highlight w:val="none"/>
                <w:u w:val="none"/>
                <w:lang w:bidi="ar"/>
              </w:rPr>
              <w:t>突发环境事件、</w:t>
            </w:r>
            <w:r>
              <w:rPr>
                <w:rFonts w:hint="default" w:ascii="Times New Roman" w:hAnsi="Times New Roman" w:eastAsia="仿宋_GB2312" w:cs="Times New Roman"/>
                <w:color w:val="auto"/>
                <w:kern w:val="0"/>
                <w:sz w:val="22"/>
                <w:szCs w:val="22"/>
                <w:highlight w:val="none"/>
                <w:lang w:bidi="ar"/>
              </w:rPr>
              <w:t>环境污染事故或生态破坏事件。</w:t>
            </w:r>
          </w:p>
        </w:tc>
      </w:tr>
      <w:tr>
        <w:trPr>
          <w:trHeight w:val="323"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12</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污染物排放</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污染物排放、处置应当符合《钢铁烧结、球团工业大气污染物排放标准》（GB28662）、《炼铁工业大气污染物排放标准》（GB28663）、《炼钢工业大气污染物排放标准》（GB28664）、《轧钢工业大气污染物排放标准》（GB28665）、《炼焦化学工业污染物排放标准》（GB16171/GB16171.1）、《钢铁工业水污染物排放标准》（GB13456）、《一般工业固体废物贮存和填埋污染控制标准》（GB18599）、《危险废物贮存污染控制标准》（GB18597）、《工业企业厂界环境噪声排放标准》（GB12348）等规定，</w:t>
            </w:r>
            <w:r>
              <w:rPr>
                <w:rFonts w:hint="default" w:ascii="Times New Roman" w:hAnsi="Times New Roman" w:eastAsia="仿宋_GB2312" w:cs="Times New Roman"/>
                <w:color w:val="auto"/>
                <w:kern w:val="0"/>
                <w:sz w:val="22"/>
                <w:szCs w:val="22"/>
                <w:highlight w:val="none"/>
                <w:lang w:bidi="ar"/>
              </w:rPr>
              <w:t>未出现超总量排污、超排污许可证排污等情形。2026年起</w:t>
            </w:r>
            <w:r>
              <w:rPr>
                <w:rFonts w:hint="default" w:ascii="Times New Roman" w:hAnsi="Times New Roman" w:eastAsia="仿宋_GB2312" w:cs="Times New Roman"/>
                <w:color w:val="auto"/>
                <w:kern w:val="0"/>
                <w:sz w:val="22"/>
                <w:szCs w:val="22"/>
                <w:highlight w:val="none"/>
                <w:lang w:eastAsia="zh-CN" w:bidi="ar"/>
              </w:rPr>
              <w:t>应当</w:t>
            </w:r>
            <w:r>
              <w:rPr>
                <w:rFonts w:hint="default" w:ascii="Times New Roman" w:hAnsi="Times New Roman" w:eastAsia="仿宋_GB2312" w:cs="Times New Roman"/>
                <w:color w:val="auto"/>
                <w:kern w:val="0"/>
                <w:sz w:val="22"/>
                <w:szCs w:val="22"/>
                <w:highlight w:val="none"/>
                <w:lang w:bidi="ar"/>
              </w:rPr>
              <w:t>完成全流程超低排放改造并公示。</w:t>
            </w:r>
          </w:p>
        </w:tc>
      </w:tr>
      <w:tr>
        <w:trPr>
          <w:trHeight w:val="798" w:hRule="atLeast"/>
        </w:trPr>
        <w:tc>
          <w:tcPr>
            <w:tcW w:w="7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2"/>
                <w:szCs w:val="22"/>
                <w:highlight w:val="none"/>
                <w:u w:val="none"/>
              </w:rPr>
            </w:pPr>
            <w:r>
              <w:rPr>
                <w:rFonts w:hint="default" w:ascii="Times New Roman" w:hAnsi="Times New Roman" w:eastAsia="仿宋_GB2312" w:cs="Times New Roman"/>
                <w:i w:val="0"/>
                <w:iCs w:val="0"/>
                <w:color w:val="auto"/>
                <w:kern w:val="0"/>
                <w:sz w:val="22"/>
                <w:szCs w:val="22"/>
                <w:highlight w:val="none"/>
                <w:u w:val="none"/>
                <w:lang w:val="en-US" w:eastAsia="zh-CN" w:bidi="ar"/>
              </w:rPr>
              <w:t>资源消耗</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13</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固废综合利用</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color w:val="auto"/>
                <w:kern w:val="0"/>
                <w:sz w:val="22"/>
                <w:szCs w:val="22"/>
                <w:highlight w:val="none"/>
                <w:lang w:bidi="ar"/>
              </w:rPr>
              <w:t>铁渣、钢渣、除尘灰、脱硫石膏等固废</w:t>
            </w:r>
            <w:r>
              <w:rPr>
                <w:rFonts w:hint="default" w:ascii="Times New Roman" w:hAnsi="Times New Roman" w:eastAsia="仿宋_GB2312" w:cs="Times New Roman"/>
                <w:i w:val="0"/>
                <w:iCs w:val="0"/>
                <w:color w:val="auto"/>
                <w:kern w:val="0"/>
                <w:sz w:val="22"/>
                <w:szCs w:val="22"/>
                <w:highlight w:val="none"/>
                <w:u w:val="none"/>
                <w:lang w:val="en-US" w:eastAsia="zh-CN" w:bidi="ar"/>
              </w:rPr>
              <w:t>综合利用符合国家有关政策规定。</w:t>
            </w:r>
          </w:p>
        </w:tc>
      </w:tr>
      <w:tr>
        <w:trPr>
          <w:trHeight w:val="988" w:hRule="atLeast"/>
        </w:trPr>
        <w:tc>
          <w:tcPr>
            <w:tcW w:w="766"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14</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水资源消耗</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水资源消耗符合《工业用水定额：钢铁》《取水定额第2部分</w:t>
            </w:r>
            <w:r>
              <w:rPr>
                <w:rFonts w:hint="eastAsia" w:ascii="Times New Roman" w:hAnsi="Times New Roman" w:eastAsia="仿宋_GB2312" w:cs="Times New Roman"/>
                <w:i w:val="0"/>
                <w:iCs w:val="0"/>
                <w:color w:val="auto"/>
                <w:kern w:val="0"/>
                <w:sz w:val="22"/>
                <w:szCs w:val="22"/>
                <w:highlight w:val="none"/>
                <w:u w:val="none"/>
                <w:lang w:val="en-US" w:eastAsia="zh-CN" w:bidi="ar"/>
              </w:rPr>
              <w:t>：</w:t>
            </w:r>
            <w:r>
              <w:rPr>
                <w:rFonts w:hint="default" w:ascii="Times New Roman" w:hAnsi="Times New Roman" w:eastAsia="仿宋_GB2312" w:cs="Times New Roman"/>
                <w:i w:val="0"/>
                <w:iCs w:val="0"/>
                <w:color w:val="auto"/>
                <w:kern w:val="0"/>
                <w:sz w:val="22"/>
                <w:szCs w:val="22"/>
                <w:highlight w:val="none"/>
                <w:u w:val="none"/>
                <w:lang w:val="en-US" w:eastAsia="zh-CN" w:bidi="ar"/>
              </w:rPr>
              <w:t>钢铁联合企业》（GB</w:t>
            </w:r>
            <w:r>
              <w:rPr>
                <w:rFonts w:hint="eastAsia" w:ascii="Times New Roman" w:hAnsi="Times New Roman" w:eastAsia="仿宋_GB2312" w:cs="Times New Roman"/>
                <w:i w:val="0"/>
                <w:iCs w:val="0"/>
                <w:color w:val="auto"/>
                <w:kern w:val="0"/>
                <w:sz w:val="22"/>
                <w:szCs w:val="22"/>
                <w:highlight w:val="none"/>
                <w:u w:val="none"/>
                <w:lang w:val="en-US" w:eastAsia="zh-CN" w:bidi="ar"/>
              </w:rPr>
              <w:t>/</w:t>
            </w:r>
            <w:r>
              <w:rPr>
                <w:rFonts w:hint="default" w:ascii="Times New Roman" w:hAnsi="Times New Roman" w:eastAsia="仿宋_GB2312" w:cs="Times New Roman"/>
                <w:i w:val="0"/>
                <w:iCs w:val="0"/>
                <w:color w:val="auto"/>
                <w:kern w:val="0"/>
                <w:sz w:val="22"/>
                <w:szCs w:val="22"/>
                <w:highlight w:val="none"/>
                <w:u w:val="none"/>
                <w:lang w:val="en-US" w:eastAsia="zh-CN" w:bidi="ar"/>
              </w:rPr>
              <w:t>T18916.2）等规定。不存在未经批准擅自取用地下水行为。</w:t>
            </w:r>
          </w:p>
        </w:tc>
      </w:tr>
      <w:tr>
        <w:trPr>
          <w:trHeight w:val="565"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15</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节能评估</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bidi="ar"/>
              </w:rPr>
              <w:t>按要求履行项目节能审查和验收等相关手续。</w:t>
            </w:r>
          </w:p>
        </w:tc>
      </w:tr>
      <w:tr>
        <w:trPr>
          <w:trHeight w:val="1360" w:hRule="atLeast"/>
        </w:trPr>
        <w:tc>
          <w:tcPr>
            <w:tcW w:w="76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16</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能效水平</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tabs>
                <w:tab w:val="left" w:pos="3150"/>
              </w:tabs>
              <w:jc w:val="both"/>
              <w:textAlignment w:val="center"/>
              <w:rPr>
                <w:rFonts w:hint="default" w:ascii="Times New Roman" w:hAnsi="Times New Roman" w:eastAsia="仿宋_GB2312" w:cs="Times New Roman"/>
                <w:i w:val="0"/>
                <w:iCs w:val="0"/>
                <w:color w:val="auto"/>
                <w:kern w:val="0"/>
                <w:sz w:val="22"/>
                <w:szCs w:val="22"/>
                <w:highlight w:val="none"/>
                <w:u w:val="none"/>
                <w:lang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主要生产工序能效指标应当符合</w:t>
            </w:r>
            <w:r>
              <w:rPr>
                <w:rFonts w:hint="default" w:ascii="Times New Roman" w:hAnsi="Times New Roman" w:eastAsia="仿宋_GB2312" w:cs="Times New Roman"/>
                <w:color w:val="auto"/>
                <w:kern w:val="0"/>
                <w:sz w:val="22"/>
                <w:szCs w:val="22"/>
                <w:highlight w:val="none"/>
                <w:lang w:bidi="ar"/>
              </w:rPr>
              <w:t>《焦炭单位产品能源消耗限额》（GB21342）</w:t>
            </w:r>
            <w:r>
              <w:rPr>
                <w:rFonts w:hint="default" w:ascii="Times New Roman" w:hAnsi="Times New Roman" w:eastAsia="仿宋_GB2312" w:cs="Times New Roman"/>
                <w:color w:val="auto"/>
                <w:kern w:val="0"/>
                <w:sz w:val="22"/>
                <w:szCs w:val="22"/>
                <w:highlight w:val="none"/>
                <w:lang w:eastAsia="zh-CN" w:bidi="ar"/>
              </w:rPr>
              <w:t>、</w:t>
            </w:r>
            <w:r>
              <w:rPr>
                <w:rFonts w:hint="default" w:ascii="Times New Roman" w:hAnsi="Times New Roman" w:eastAsia="仿宋_GB2312" w:cs="Times New Roman"/>
                <w:i w:val="0"/>
                <w:iCs w:val="0"/>
                <w:color w:val="auto"/>
                <w:kern w:val="0"/>
                <w:sz w:val="22"/>
                <w:szCs w:val="22"/>
                <w:highlight w:val="none"/>
                <w:u w:val="none"/>
                <w:lang w:val="en-US" w:eastAsia="zh-CN" w:bidi="ar"/>
              </w:rPr>
              <w:t>《粗钢生产主要工序单位产品能源消耗限额》（GB21256）、《电弧炉冶炼单位产品能源消耗限额》（GB32050）规定，</w:t>
            </w:r>
            <w:r>
              <w:rPr>
                <w:rFonts w:hint="default" w:ascii="Times New Roman" w:hAnsi="Times New Roman" w:eastAsia="仿宋_GB2312" w:cs="Times New Roman"/>
                <w:color w:val="auto"/>
                <w:kern w:val="0"/>
                <w:sz w:val="22"/>
                <w:szCs w:val="22"/>
                <w:highlight w:val="none"/>
                <w:lang w:bidi="ar"/>
              </w:rPr>
              <w:t>2025年底前</w:t>
            </w:r>
            <w:r>
              <w:rPr>
                <w:rFonts w:hint="default" w:ascii="Times New Roman" w:hAnsi="Times New Roman" w:eastAsia="仿宋_GB2312" w:cs="Times New Roman"/>
                <w:color w:val="auto"/>
                <w:kern w:val="0"/>
                <w:sz w:val="22"/>
                <w:szCs w:val="22"/>
                <w:highlight w:val="none"/>
                <w:lang w:eastAsia="zh-CN" w:bidi="ar"/>
              </w:rPr>
              <w:t>应当</w:t>
            </w:r>
            <w:r>
              <w:rPr>
                <w:rFonts w:hint="default" w:ascii="Times New Roman" w:hAnsi="Times New Roman" w:eastAsia="仿宋_GB2312" w:cs="Times New Roman"/>
                <w:i w:val="0"/>
                <w:iCs w:val="0"/>
                <w:color w:val="auto"/>
                <w:kern w:val="0"/>
                <w:sz w:val="22"/>
                <w:szCs w:val="22"/>
                <w:highlight w:val="none"/>
                <w:u w:val="none"/>
                <w:lang w:val="en-US" w:eastAsia="zh-CN" w:bidi="ar"/>
              </w:rPr>
              <w:t>达到《工业重点领域能效标杆水平和基准水平》规定的“基准水平”。</w:t>
            </w:r>
          </w:p>
        </w:tc>
      </w:tr>
      <w:tr>
        <w:trPr>
          <w:trHeight w:val="340" w:hRule="atLeast"/>
        </w:trPr>
        <w:tc>
          <w:tcPr>
            <w:tcW w:w="7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2"/>
                <w:szCs w:val="22"/>
                <w:highlight w:val="none"/>
                <w:u w:val="none"/>
                <w:lang w:val="en-US"/>
              </w:rPr>
            </w:pPr>
            <w:r>
              <w:rPr>
                <w:rFonts w:hint="default" w:ascii="Times New Roman" w:hAnsi="Times New Roman" w:eastAsia="仿宋_GB2312" w:cs="Times New Roman"/>
                <w:i w:val="0"/>
                <w:iCs w:val="0"/>
                <w:color w:val="auto"/>
                <w:kern w:val="0"/>
                <w:sz w:val="22"/>
                <w:szCs w:val="22"/>
                <w:highlight w:val="none"/>
                <w:u w:val="none"/>
                <w:lang w:val="en-US" w:eastAsia="zh-CN" w:bidi="ar"/>
              </w:rPr>
              <w:t>安全生产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17</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生产安全</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应当遵守《冶金企业和有色金属企业安全生产规定》，配套建设安全设施、职业卫生防护设施，</w:t>
            </w:r>
            <w:r>
              <w:rPr>
                <w:rFonts w:hint="default" w:ascii="Times New Roman" w:hAnsi="Times New Roman" w:eastAsia="仿宋_GB2312" w:cs="Times New Roman"/>
                <w:color w:val="auto"/>
                <w:kern w:val="0"/>
                <w:sz w:val="22"/>
                <w:szCs w:val="22"/>
                <w:highlight w:val="none"/>
                <w:lang w:bidi="ar"/>
              </w:rPr>
              <w:t>完成安全、职业卫生、消防竣工验收等相关手续</w:t>
            </w:r>
            <w:r>
              <w:rPr>
                <w:rFonts w:hint="default" w:ascii="Times New Roman" w:hAnsi="Times New Roman" w:eastAsia="仿宋_GB2312" w:cs="Times New Roman"/>
                <w:i w:val="0"/>
                <w:iCs w:val="0"/>
                <w:color w:val="auto"/>
                <w:kern w:val="0"/>
                <w:sz w:val="22"/>
                <w:szCs w:val="22"/>
                <w:highlight w:val="none"/>
                <w:u w:val="none"/>
                <w:lang w:val="en-US" w:eastAsia="zh-CN" w:bidi="ar"/>
              </w:rPr>
              <w:t>。</w:t>
            </w:r>
          </w:p>
        </w:tc>
      </w:tr>
      <w:tr>
        <w:trPr>
          <w:trHeight w:val="628" w:hRule="atLeast"/>
        </w:trPr>
        <w:tc>
          <w:tcPr>
            <w:tcW w:w="766"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18</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安全事故</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bidi="ar"/>
              </w:rPr>
              <w:t>上年度</w:t>
            </w:r>
            <w:r>
              <w:rPr>
                <w:rFonts w:hint="default" w:ascii="Times New Roman" w:hAnsi="Times New Roman" w:eastAsia="仿宋_GB2312" w:cs="Times New Roman"/>
                <w:color w:val="auto"/>
                <w:kern w:val="0"/>
                <w:sz w:val="22"/>
                <w:szCs w:val="22"/>
                <w:highlight w:val="none"/>
                <w:lang w:eastAsia="zh-CN" w:bidi="ar"/>
              </w:rPr>
              <w:t>以来</w:t>
            </w:r>
            <w:r>
              <w:rPr>
                <w:rFonts w:hint="default" w:ascii="Times New Roman" w:hAnsi="Times New Roman" w:eastAsia="仿宋_GB2312" w:cs="Times New Roman"/>
                <w:color w:val="auto"/>
                <w:kern w:val="0"/>
                <w:sz w:val="22"/>
                <w:szCs w:val="22"/>
                <w:highlight w:val="none"/>
                <w:lang w:bidi="ar"/>
              </w:rPr>
              <w:t>未发生</w:t>
            </w:r>
            <w:r>
              <w:rPr>
                <w:rFonts w:hint="default" w:ascii="Times New Roman" w:hAnsi="Times New Roman" w:eastAsia="仿宋_GB2312" w:cs="Times New Roman"/>
                <w:color w:val="auto"/>
                <w:kern w:val="0"/>
                <w:sz w:val="22"/>
                <w:szCs w:val="22"/>
                <w:highlight w:val="none"/>
                <w:lang w:eastAsia="zh-CN" w:bidi="ar"/>
              </w:rPr>
              <w:t>较</w:t>
            </w:r>
            <w:r>
              <w:rPr>
                <w:rFonts w:hint="default" w:ascii="Times New Roman" w:hAnsi="Times New Roman" w:eastAsia="仿宋_GB2312" w:cs="Times New Roman"/>
                <w:color w:val="auto"/>
                <w:kern w:val="0"/>
                <w:sz w:val="22"/>
                <w:szCs w:val="22"/>
                <w:highlight w:val="none"/>
                <w:lang w:bidi="ar"/>
              </w:rPr>
              <w:t>大及以上生产安全事故</w:t>
            </w:r>
            <w:r>
              <w:rPr>
                <w:rFonts w:hint="default" w:ascii="Times New Roman" w:hAnsi="Times New Roman" w:eastAsia="仿宋_GB2312" w:cs="Times New Roman"/>
                <w:color w:val="auto"/>
                <w:kern w:val="0"/>
                <w:sz w:val="22"/>
                <w:szCs w:val="22"/>
                <w:highlight w:val="none"/>
                <w:lang w:eastAsia="zh-CN" w:bidi="ar"/>
              </w:rPr>
              <w:t>，</w:t>
            </w:r>
            <w:r>
              <w:rPr>
                <w:rFonts w:hint="default" w:ascii="Times New Roman" w:hAnsi="Times New Roman" w:eastAsia="仿宋_GB2312" w:cs="Times New Roman"/>
                <w:color w:val="auto"/>
                <w:kern w:val="0"/>
                <w:sz w:val="22"/>
                <w:szCs w:val="22"/>
                <w:highlight w:val="none"/>
                <w:lang w:bidi="ar"/>
              </w:rPr>
              <w:t>未发生重大及以上</w:t>
            </w:r>
            <w:r>
              <w:rPr>
                <w:rFonts w:hint="default" w:ascii="Times New Roman" w:hAnsi="Times New Roman" w:eastAsia="仿宋_GB2312" w:cs="Times New Roman"/>
                <w:color w:val="auto"/>
                <w:kern w:val="0"/>
                <w:sz w:val="22"/>
                <w:szCs w:val="22"/>
                <w:highlight w:val="none"/>
                <w:lang w:eastAsia="zh-CN" w:bidi="ar"/>
              </w:rPr>
              <w:t>网络安全事件、</w:t>
            </w:r>
            <w:r>
              <w:rPr>
                <w:rFonts w:hint="default" w:ascii="Times New Roman" w:hAnsi="Times New Roman" w:eastAsia="仿宋_GB2312" w:cs="Times New Roman"/>
                <w:color w:val="auto"/>
                <w:kern w:val="0"/>
                <w:sz w:val="22"/>
                <w:szCs w:val="22"/>
                <w:highlight w:val="none"/>
                <w:lang w:bidi="ar"/>
              </w:rPr>
              <w:t>数据安全事件</w:t>
            </w:r>
            <w:r>
              <w:rPr>
                <w:rFonts w:hint="default" w:ascii="Times New Roman" w:hAnsi="Times New Roman" w:eastAsia="仿宋_GB2312" w:cs="Times New Roman"/>
                <w:color w:val="auto"/>
                <w:kern w:val="0"/>
                <w:sz w:val="22"/>
                <w:szCs w:val="22"/>
                <w:highlight w:val="none"/>
                <w:lang w:eastAsia="zh-CN" w:bidi="ar"/>
              </w:rPr>
              <w:t>。</w:t>
            </w:r>
          </w:p>
        </w:tc>
      </w:tr>
      <w:tr>
        <w:trPr>
          <w:trHeight w:val="1360" w:hRule="atLeast"/>
        </w:trPr>
        <w:tc>
          <w:tcPr>
            <w:tcW w:w="766" w:type="dxa"/>
            <w:vMerge w:val="restar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r>
              <w:rPr>
                <w:rFonts w:hint="default" w:ascii="Times New Roman" w:hAnsi="Times New Roman" w:eastAsia="仿宋_GB2312" w:cs="Times New Roman"/>
                <w:i w:val="0"/>
                <w:iCs w:val="0"/>
                <w:color w:val="auto"/>
                <w:kern w:val="0"/>
                <w:sz w:val="22"/>
                <w:szCs w:val="22"/>
                <w:highlight w:val="none"/>
                <w:u w:val="none"/>
                <w:lang w:val="en-US" w:eastAsia="zh-CN" w:bidi="ar"/>
              </w:rPr>
              <w:t>质量管理</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19</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产品质量</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生产质量合格产品，不存在</w:t>
            </w:r>
            <w:r>
              <w:rPr>
                <w:rFonts w:hint="default" w:ascii="Times New Roman" w:hAnsi="Times New Roman" w:eastAsia="仿宋_GB2312" w:cs="Times New Roman"/>
                <w:color w:val="auto"/>
                <w:kern w:val="0"/>
                <w:sz w:val="22"/>
                <w:szCs w:val="22"/>
                <w:highlight w:val="none"/>
                <w:lang w:bidi="ar"/>
              </w:rPr>
              <w:t>生产、销售、进口或提供不符合强制性标准的产品</w:t>
            </w:r>
            <w:r>
              <w:rPr>
                <w:rFonts w:hint="default" w:ascii="Times New Roman" w:hAnsi="Times New Roman" w:eastAsia="仿宋_GB2312" w:cs="Times New Roman"/>
                <w:color w:val="auto"/>
                <w:kern w:val="0"/>
                <w:sz w:val="22"/>
                <w:szCs w:val="22"/>
                <w:highlight w:val="none"/>
                <w:lang w:eastAsia="zh-CN" w:bidi="ar"/>
              </w:rPr>
              <w:t>行为</w:t>
            </w:r>
            <w:r>
              <w:rPr>
                <w:rFonts w:hint="default" w:ascii="Times New Roman" w:hAnsi="Times New Roman" w:eastAsia="仿宋_GB2312" w:cs="Times New Roman"/>
                <w:color w:val="auto"/>
                <w:kern w:val="0"/>
                <w:sz w:val="22"/>
                <w:szCs w:val="22"/>
                <w:highlight w:val="none"/>
                <w:lang w:bidi="ar"/>
              </w:rPr>
              <w:t>，许可类产品须具备生产许可证，</w:t>
            </w:r>
            <w:r>
              <w:rPr>
                <w:rFonts w:hint="default" w:ascii="Times New Roman" w:hAnsi="Times New Roman" w:eastAsia="仿宋_GB2312" w:cs="Times New Roman"/>
                <w:color w:val="auto"/>
                <w:kern w:val="0"/>
                <w:sz w:val="22"/>
                <w:szCs w:val="22"/>
                <w:highlight w:val="none"/>
                <w:lang w:val="en-US" w:eastAsia="zh-CN" w:bidi="ar"/>
              </w:rPr>
              <w:t>不存在以假充真、以次充好，以不合格产品冒充合格产品</w:t>
            </w:r>
            <w:r>
              <w:rPr>
                <w:rFonts w:hint="default" w:ascii="Times New Roman" w:hAnsi="Times New Roman" w:eastAsia="仿宋_GB2312" w:cs="Times New Roman"/>
                <w:i w:val="0"/>
                <w:iCs w:val="0"/>
                <w:color w:val="auto"/>
                <w:kern w:val="0"/>
                <w:sz w:val="22"/>
                <w:szCs w:val="22"/>
                <w:highlight w:val="none"/>
                <w:u w:val="none"/>
                <w:lang w:val="en-US" w:eastAsia="zh-CN" w:bidi="ar"/>
              </w:rPr>
              <w:t>以及</w:t>
            </w:r>
            <w:r>
              <w:rPr>
                <w:rFonts w:hint="eastAsia" w:ascii="Times New Roman" w:hAnsi="Times New Roman" w:eastAsia="仿宋_GB2312" w:cs="Times New Roman"/>
                <w:i w:val="0"/>
                <w:iCs w:val="0"/>
                <w:color w:val="auto"/>
                <w:kern w:val="0"/>
                <w:sz w:val="22"/>
                <w:szCs w:val="22"/>
                <w:highlight w:val="none"/>
                <w:u w:val="none"/>
                <w:lang w:val="en-US" w:eastAsia="zh-CN" w:bidi="ar"/>
              </w:rPr>
              <w:t>生产</w:t>
            </w:r>
            <w:r>
              <w:rPr>
                <w:rFonts w:hint="default" w:ascii="Times New Roman" w:hAnsi="Times New Roman" w:eastAsia="仿宋_GB2312" w:cs="Times New Roman"/>
                <w:i w:val="0"/>
                <w:iCs w:val="0"/>
                <w:color w:val="auto"/>
                <w:kern w:val="0"/>
                <w:sz w:val="22"/>
                <w:szCs w:val="22"/>
                <w:highlight w:val="none"/>
                <w:u w:val="none"/>
                <w:lang w:val="en-US" w:eastAsia="zh-CN" w:bidi="ar"/>
              </w:rPr>
              <w:t>《产业结构调整指导目录》中列明的淘汰类产品行为。</w:t>
            </w:r>
          </w:p>
        </w:tc>
      </w:tr>
      <w:tr>
        <w:trPr>
          <w:trHeight w:val="1360" w:hRule="atLeast"/>
        </w:trPr>
        <w:tc>
          <w:tcPr>
            <w:tcW w:w="766" w:type="dxa"/>
            <w:vMerge w:val="continue"/>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i w:val="0"/>
                <w:iCs w:val="0"/>
                <w:color w:val="auto"/>
                <w:sz w:val="22"/>
                <w:szCs w:val="22"/>
                <w:highlight w:val="none"/>
                <w:u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20</w:t>
            </w:r>
          </w:p>
        </w:tc>
        <w:tc>
          <w:tcPr>
            <w:tcW w:w="13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i w:val="0"/>
                <w:iCs w:val="0"/>
                <w:color w:val="auto"/>
                <w:kern w:val="0"/>
                <w:sz w:val="22"/>
                <w:szCs w:val="22"/>
                <w:highlight w:val="none"/>
                <w:u w:val="none"/>
                <w:lang w:val="en-US" w:eastAsia="zh-CN" w:bidi="ar"/>
              </w:rPr>
              <w:t>质量管理制度</w:t>
            </w:r>
          </w:p>
        </w:tc>
        <w:tc>
          <w:tcPr>
            <w:tcW w:w="5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2"/>
                <w:szCs w:val="22"/>
                <w:highlight w:val="none"/>
                <w:u w:val="none"/>
                <w:lang w:val="en-US" w:eastAsia="zh-CN" w:bidi="ar"/>
              </w:rPr>
            </w:pPr>
            <w:r>
              <w:rPr>
                <w:rFonts w:hint="default" w:ascii="Times New Roman" w:hAnsi="Times New Roman" w:eastAsia="仿宋_GB2312" w:cs="Times New Roman"/>
                <w:color w:val="auto"/>
                <w:kern w:val="0"/>
                <w:sz w:val="22"/>
                <w:szCs w:val="22"/>
                <w:highlight w:val="none"/>
                <w:lang w:bidi="ar"/>
              </w:rPr>
              <w:t>建立完备的产品生产全过程质量保证制度和质量控制指标体系，具有产品质量保障</w:t>
            </w:r>
            <w:r>
              <w:rPr>
                <w:rFonts w:hint="default" w:ascii="Times New Roman" w:hAnsi="Times New Roman" w:eastAsia="仿宋_GB2312" w:cs="Times New Roman"/>
                <w:color w:val="auto"/>
                <w:kern w:val="0"/>
                <w:sz w:val="22"/>
                <w:szCs w:val="22"/>
                <w:highlight w:val="none"/>
                <w:lang w:val="en-US" w:eastAsia="zh-CN" w:bidi="ar"/>
              </w:rPr>
              <w:t>部门</w:t>
            </w:r>
            <w:r>
              <w:rPr>
                <w:rFonts w:hint="default" w:ascii="Times New Roman" w:hAnsi="Times New Roman" w:eastAsia="仿宋_GB2312" w:cs="Times New Roman"/>
                <w:color w:val="auto"/>
                <w:kern w:val="0"/>
                <w:sz w:val="22"/>
                <w:szCs w:val="22"/>
                <w:highlight w:val="none"/>
                <w:lang w:bidi="ar"/>
              </w:rPr>
              <w:t>和检化验设施，保持良好的产品质量信用记录。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C0AE5"/>
    <w:rsid w:val="7F6C0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tabs>
        <w:tab w:val="left" w:pos="0"/>
      </w:tabs>
    </w:pPr>
    <w:rPr>
      <w:rFonts w:ascii="Times New Roman" w:hAnsi="Times New Roman"/>
      <w:szCs w:val="24"/>
    </w:r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2025-02-08T17:38:00Z</dcterms:created>
  <dc:creator>要死的泡泡鱼</dc:creator>
  <cp:lastModifiedBy>要死的泡泡鱼</cp:lastModifiedBy>
  <dcterms:modified xsi:type="dcterms:W3CDTF">2025-02-08T17:38:50Z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9ABE86280D6B3CEF1F26A76717790530_41</vt:lpwstr>
  </property>
</Properties>
</file>